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2776E00" w14:textId="1724FDCA" w:rsidR="000C6E4C" w:rsidRPr="00222B7B" w:rsidRDefault="000C6E4C" w:rsidP="00222B7B">
      <w:pPr>
        <w:pStyle w:val="metin"/>
        <w:pageBreakBefore/>
        <w:spacing w:after="60" w:line="240" w:lineRule="auto"/>
        <w:ind w:firstLine="0"/>
        <w:rPr>
          <w:rFonts w:ascii="Times New Roman" w:hAnsi="Times New Roman" w:cs="Times New Roman"/>
          <w:b/>
          <w:sz w:val="22"/>
          <w:szCs w:val="22"/>
          <w:lang w:val="en-US"/>
        </w:rPr>
      </w:pPr>
      <w:bookmarkStart w:id="0" w:name="_GoBack"/>
      <w:bookmarkEnd w:id="0"/>
      <w:r w:rsidRPr="00222B7B">
        <w:rPr>
          <w:rFonts w:ascii="Times New Roman" w:hAnsi="Times New Roman" w:cs="Times New Roman"/>
          <w:b/>
          <w:sz w:val="22"/>
          <w:szCs w:val="22"/>
          <w:lang w:val="en-US"/>
        </w:rPr>
        <w:t xml:space="preserve">Interpretation </w:t>
      </w:r>
      <w:proofErr w:type="gramStart"/>
      <w:r w:rsidRPr="00222B7B">
        <w:rPr>
          <w:rFonts w:ascii="Times New Roman" w:hAnsi="Times New Roman" w:cs="Times New Roman"/>
          <w:b/>
          <w:sz w:val="22"/>
          <w:szCs w:val="22"/>
          <w:lang w:val="en-US"/>
        </w:rPr>
        <w:t>Of</w:t>
      </w:r>
      <w:proofErr w:type="gramEnd"/>
      <w:r w:rsidRPr="00222B7B">
        <w:rPr>
          <w:rFonts w:ascii="Times New Roman" w:hAnsi="Times New Roman" w:cs="Times New Roman"/>
          <w:b/>
          <w:sz w:val="22"/>
          <w:szCs w:val="22"/>
          <w:lang w:val="en-US"/>
        </w:rPr>
        <w:t xml:space="preserve"> Sacred</w:t>
      </w:r>
    </w:p>
    <w:p w14:paraId="2AC3CA85" w14:textId="77777777" w:rsidR="000C6E4C" w:rsidRPr="00222B7B" w:rsidRDefault="000C6E4C" w:rsidP="00222B7B">
      <w:pPr>
        <w:pStyle w:val="metin"/>
        <w:spacing w:after="60" w:line="240" w:lineRule="auto"/>
        <w:ind w:firstLine="0"/>
        <w:rPr>
          <w:rFonts w:ascii="Times New Roman" w:hAnsi="Times New Roman" w:cs="Times New Roman"/>
          <w:sz w:val="22"/>
          <w:szCs w:val="22"/>
          <w:lang w:val="en-US"/>
        </w:rPr>
      </w:pPr>
      <w:r w:rsidRPr="00222B7B">
        <w:rPr>
          <w:rFonts w:ascii="Times New Roman" w:hAnsi="Times New Roman" w:cs="Times New Roman"/>
          <w:sz w:val="22"/>
          <w:szCs w:val="22"/>
          <w:lang w:val="en-US"/>
        </w:rPr>
        <w:t xml:space="preserve">Interpretation of sacred is giving an answer to questions in the holy scriptures that confuse a good many of us and that makes it difficult for us to get out of that blurry area between mystery and contradiction. We can see more clearly how the moralist, historic, philosophic, mystic, symbolic or direct reading of the same holy book effects man’s self-positioning in the face of faith and how man desires to shape himself and the world through that. </w:t>
      </w:r>
    </w:p>
    <w:p w14:paraId="343D25F6" w14:textId="462F1F7C" w:rsidR="000C6E4C" w:rsidRPr="00222B7B" w:rsidRDefault="000C6E4C" w:rsidP="00222B7B">
      <w:pPr>
        <w:pStyle w:val="metin"/>
        <w:spacing w:after="60" w:line="240" w:lineRule="auto"/>
        <w:ind w:firstLine="0"/>
        <w:rPr>
          <w:rFonts w:ascii="Times New Roman" w:hAnsi="Times New Roman" w:cs="Times New Roman"/>
          <w:sz w:val="22"/>
          <w:szCs w:val="22"/>
          <w:lang w:val="en-US"/>
        </w:rPr>
      </w:pPr>
      <w:r w:rsidRPr="00222B7B">
        <w:rPr>
          <w:rFonts w:ascii="Times New Roman" w:hAnsi="Times New Roman" w:cs="Times New Roman"/>
          <w:sz w:val="22"/>
          <w:szCs w:val="22"/>
          <w:lang w:val="en-US"/>
        </w:rPr>
        <w:t>Interpretation of sacred is displaying before us in layers the profundity of many narratives from Torah, Bible and Quran and moreover, indicating the roots and origins of these narratives, is giving us an opportunity of an inter-textual comparative reading.</w:t>
      </w:r>
    </w:p>
    <w:p w14:paraId="18D7C0A6" w14:textId="77777777" w:rsidR="00222B7B" w:rsidRPr="00222B7B" w:rsidRDefault="00222B7B" w:rsidP="00222B7B">
      <w:pPr>
        <w:pStyle w:val="metin"/>
        <w:spacing w:after="60" w:line="240" w:lineRule="auto"/>
        <w:ind w:firstLine="0"/>
        <w:rPr>
          <w:rFonts w:ascii="Times New Roman" w:hAnsi="Times New Roman" w:cs="Times New Roman"/>
          <w:sz w:val="22"/>
          <w:szCs w:val="22"/>
          <w:lang w:val="en-US"/>
        </w:rPr>
      </w:pPr>
    </w:p>
    <w:p w14:paraId="7BDBFE2B" w14:textId="3928982D" w:rsidR="000C6E4C" w:rsidRPr="00222B7B" w:rsidRDefault="000C6E4C" w:rsidP="00222B7B">
      <w:pPr>
        <w:spacing w:after="60"/>
        <w:jc w:val="both"/>
        <w:rPr>
          <w:rFonts w:ascii="Times New Roman" w:hAnsi="Times New Roman" w:cs="Times New Roman"/>
          <w:b/>
          <w:sz w:val="22"/>
          <w:szCs w:val="22"/>
          <w:lang w:val="en-US"/>
        </w:rPr>
      </w:pPr>
      <w:r w:rsidRPr="00222B7B">
        <w:rPr>
          <w:rFonts w:ascii="Times New Roman" w:hAnsi="Times New Roman" w:cs="Times New Roman"/>
          <w:b/>
          <w:sz w:val="22"/>
          <w:szCs w:val="22"/>
          <w:lang w:val="en-US"/>
        </w:rPr>
        <w:t xml:space="preserve">Interpretation </w:t>
      </w:r>
      <w:proofErr w:type="gramStart"/>
      <w:r w:rsidRPr="00222B7B">
        <w:rPr>
          <w:rFonts w:ascii="Times New Roman" w:hAnsi="Times New Roman" w:cs="Times New Roman"/>
          <w:b/>
          <w:sz w:val="22"/>
          <w:szCs w:val="22"/>
          <w:lang w:val="en-US"/>
        </w:rPr>
        <w:t>Of</w:t>
      </w:r>
      <w:proofErr w:type="gramEnd"/>
      <w:r w:rsidRPr="00222B7B">
        <w:rPr>
          <w:rFonts w:ascii="Times New Roman" w:hAnsi="Times New Roman" w:cs="Times New Roman"/>
          <w:b/>
          <w:sz w:val="22"/>
          <w:szCs w:val="22"/>
          <w:lang w:val="en-US"/>
        </w:rPr>
        <w:t xml:space="preserve"> Sacred – Introduction</w:t>
      </w:r>
    </w:p>
    <w:p w14:paraId="41B2AAB6" w14:textId="77777777" w:rsidR="000C6E4C" w:rsidRPr="00222B7B" w:rsidRDefault="000C6E4C" w:rsidP="00222B7B">
      <w:pPr>
        <w:spacing w:after="60"/>
        <w:jc w:val="both"/>
        <w:rPr>
          <w:rFonts w:ascii="Times New Roman" w:hAnsi="Times New Roman" w:cs="Times New Roman"/>
          <w:sz w:val="22"/>
          <w:szCs w:val="22"/>
          <w:lang w:val="en-US"/>
        </w:rPr>
      </w:pPr>
      <w:r w:rsidRPr="00222B7B">
        <w:rPr>
          <w:rFonts w:ascii="Times New Roman" w:hAnsi="Times New Roman" w:cs="Times New Roman"/>
          <w:sz w:val="22"/>
          <w:szCs w:val="22"/>
          <w:lang w:val="en-US"/>
        </w:rPr>
        <w:t>To interpret a holy book, beyond any doubt, is not for making contributions to its holiness or sanctity. What is “sacred”, as it already exists by itself, is worthy of being named as sacred. Since it requires nothing out of itself, contribution cannot be made to it, either. Contribution can be made only to the one who needs it and only what the deficient is consummated. Therefore, the aim of interpretation is not to fill the deficiency, but to be able to warmheartedly participate in it.</w:t>
      </w:r>
    </w:p>
    <w:p w14:paraId="7E4BE1F4" w14:textId="77777777" w:rsidR="000C6E4C" w:rsidRPr="00222B7B" w:rsidRDefault="000C6E4C" w:rsidP="00222B7B">
      <w:pPr>
        <w:spacing w:after="60"/>
        <w:jc w:val="both"/>
        <w:rPr>
          <w:rFonts w:ascii="Times New Roman" w:hAnsi="Times New Roman" w:cs="Times New Roman"/>
          <w:sz w:val="22"/>
          <w:szCs w:val="22"/>
          <w:lang w:val="en-US"/>
        </w:rPr>
      </w:pPr>
      <w:r w:rsidRPr="00222B7B">
        <w:rPr>
          <w:rFonts w:ascii="Times New Roman" w:hAnsi="Times New Roman" w:cs="Times New Roman"/>
          <w:sz w:val="22"/>
          <w:szCs w:val="22"/>
          <w:lang w:val="en-US"/>
        </w:rPr>
        <w:t>The underlying intention of any and every interpretation could be different. Interpretation can sometimes be made to attack, to offend the sacred and sometimes to protect oneself from it. It can be used sometimes to deny it and sometimes to be attached more tightly. As a person of faith who hopes to make himself heard through denial could exist, there may also be the ones who are estranged due to being attached through profession. In essence, every interpretation is a “contagion”. The book, with its entire grandeur, takes a stand against the reader. With its stance, it is splendid, eternal, unreachable and inconsumable. But all of these are valid only for the one who opens the book cover to begin reading it.</w:t>
      </w:r>
    </w:p>
    <w:p w14:paraId="402845AD" w14:textId="77777777" w:rsidR="000C6E4C" w:rsidRPr="00222B7B" w:rsidRDefault="000C6E4C" w:rsidP="00222B7B">
      <w:pPr>
        <w:spacing w:after="60"/>
        <w:jc w:val="both"/>
        <w:rPr>
          <w:sz w:val="22"/>
          <w:szCs w:val="22"/>
        </w:rPr>
      </w:pPr>
    </w:p>
    <w:p w14:paraId="554216A7" w14:textId="77777777" w:rsidR="00222B7B" w:rsidRPr="00222B7B" w:rsidRDefault="00222B7B" w:rsidP="00222B7B">
      <w:pPr>
        <w:spacing w:after="60"/>
        <w:jc w:val="both"/>
        <w:rPr>
          <w:rFonts w:ascii="Times New Roman" w:hAnsi="Times New Roman" w:cs="Times New Roman"/>
          <w:b/>
          <w:sz w:val="22"/>
          <w:szCs w:val="22"/>
          <w:lang w:val="en-US"/>
        </w:rPr>
      </w:pPr>
      <w:r w:rsidRPr="00222B7B">
        <w:rPr>
          <w:rFonts w:ascii="Times New Roman" w:hAnsi="Times New Roman" w:cs="Times New Roman"/>
          <w:b/>
          <w:sz w:val="22"/>
          <w:szCs w:val="22"/>
          <w:lang w:val="en-US"/>
        </w:rPr>
        <w:t xml:space="preserve">Interpretation </w:t>
      </w:r>
      <w:proofErr w:type="gramStart"/>
      <w:r w:rsidRPr="00222B7B">
        <w:rPr>
          <w:rFonts w:ascii="Times New Roman" w:hAnsi="Times New Roman" w:cs="Times New Roman"/>
          <w:b/>
          <w:sz w:val="22"/>
          <w:szCs w:val="22"/>
          <w:lang w:val="en-US"/>
        </w:rPr>
        <w:t>Of</w:t>
      </w:r>
      <w:proofErr w:type="gramEnd"/>
      <w:r w:rsidRPr="00222B7B">
        <w:rPr>
          <w:rFonts w:ascii="Times New Roman" w:hAnsi="Times New Roman" w:cs="Times New Roman"/>
          <w:b/>
          <w:sz w:val="22"/>
          <w:szCs w:val="22"/>
          <w:lang w:val="en-US"/>
        </w:rPr>
        <w:t xml:space="preserve"> Sacred – Introduction</w:t>
      </w:r>
    </w:p>
    <w:p w14:paraId="3E495B9F" w14:textId="77777777" w:rsidR="00222B7B" w:rsidRPr="00222B7B" w:rsidRDefault="00222B7B" w:rsidP="00222B7B">
      <w:pPr>
        <w:spacing w:after="60"/>
        <w:jc w:val="both"/>
        <w:rPr>
          <w:rFonts w:ascii="Times New Roman" w:hAnsi="Times New Roman" w:cs="Times New Roman"/>
          <w:sz w:val="22"/>
          <w:szCs w:val="22"/>
          <w:lang w:val="en-US"/>
        </w:rPr>
      </w:pPr>
      <w:r w:rsidRPr="00222B7B">
        <w:rPr>
          <w:rFonts w:ascii="Times New Roman" w:hAnsi="Times New Roman" w:cs="Times New Roman"/>
          <w:sz w:val="22"/>
          <w:szCs w:val="22"/>
          <w:lang w:val="en-US"/>
        </w:rPr>
        <w:t>To interpret a holy book, beyond any doubt, is not for making contributions to its holiness or sanctity. What is “sacred”, as it already exists by itself, is worthy of being named as sacred. Since it requires nothing out of itself, contribution cannot be made to it, either. Contribution can be made only to the one who needs it and only what the deficient is consummated. Therefore, the aim of interpretation is not to fill the deficiency, but to be able to warmheartedly participate in it.</w:t>
      </w:r>
    </w:p>
    <w:p w14:paraId="1F4CAF44" w14:textId="77777777" w:rsidR="00222B7B" w:rsidRPr="00222B7B" w:rsidRDefault="00222B7B" w:rsidP="00222B7B">
      <w:pPr>
        <w:spacing w:after="60"/>
        <w:jc w:val="both"/>
        <w:rPr>
          <w:rFonts w:ascii="Times New Roman" w:hAnsi="Times New Roman" w:cs="Times New Roman"/>
          <w:sz w:val="22"/>
          <w:szCs w:val="22"/>
          <w:lang w:val="en-US"/>
        </w:rPr>
      </w:pPr>
      <w:r w:rsidRPr="00222B7B">
        <w:rPr>
          <w:rFonts w:ascii="Times New Roman" w:hAnsi="Times New Roman" w:cs="Times New Roman"/>
          <w:sz w:val="22"/>
          <w:szCs w:val="22"/>
          <w:lang w:val="en-US"/>
        </w:rPr>
        <w:t>The underlying intention of any and every interpretation could be different. Interpretation can sometimes be made to attack, to offend the sacred and sometimes to protect oneself from it. It can be used sometimes to deny it and sometimes to be attached more tightly. As a person of faith who hopes to make himself heard through denial could exist, there may also be the ones who are estranged due to being attached through profession. In essence, every interpretation is a “contagion”. The book, with its entire grandeur, takes a stand against the reader. With its stance, it is splendid, eternal, unreachable and inconsumable. But all of these are valid only for the one who opens the book cover to begin reading it.</w:t>
      </w:r>
    </w:p>
    <w:p w14:paraId="5BEC88A3" w14:textId="77777777" w:rsidR="00222B7B" w:rsidRPr="00222B7B" w:rsidRDefault="00222B7B" w:rsidP="00222B7B">
      <w:pPr>
        <w:spacing w:after="60"/>
        <w:jc w:val="both"/>
        <w:rPr>
          <w:rFonts w:ascii="Times New Roman" w:hAnsi="Times New Roman" w:cs="Times New Roman"/>
          <w:sz w:val="22"/>
          <w:szCs w:val="22"/>
          <w:lang w:val="en-US"/>
        </w:rPr>
      </w:pPr>
      <w:r w:rsidRPr="00222B7B">
        <w:rPr>
          <w:rFonts w:ascii="Times New Roman" w:hAnsi="Times New Roman" w:cs="Times New Roman"/>
          <w:sz w:val="22"/>
          <w:szCs w:val="22"/>
          <w:lang w:val="en-US"/>
        </w:rPr>
        <w:t>J.L. Borges, names the Quran, which gives off smell of the desert, as “the Book of Sand”</w:t>
      </w:r>
      <w:r w:rsidRPr="00222B7B">
        <w:rPr>
          <w:rStyle w:val="FootnoteReference"/>
          <w:rFonts w:ascii="Times New Roman" w:hAnsi="Times New Roman" w:cs="Times New Roman"/>
          <w:sz w:val="22"/>
          <w:szCs w:val="22"/>
          <w:lang w:val="en-US"/>
        </w:rPr>
        <w:footnoteReference w:id="1"/>
      </w:r>
      <w:r w:rsidRPr="00222B7B">
        <w:rPr>
          <w:rFonts w:ascii="Times New Roman" w:hAnsi="Times New Roman" w:cs="Times New Roman"/>
          <w:sz w:val="22"/>
          <w:szCs w:val="22"/>
          <w:lang w:val="en-US"/>
        </w:rPr>
        <w:t xml:space="preserve">, without using its name. The Book of Sand is the name of an infinite and inconsumable richness in which reader can never coincide with the same page of any of the pages he has read. Every time this book gets opened, it presents a brand-new page that its reader or any other reader has never seen before. Every approach towards it is unique and bears exclusiveness because; “book” is the manifestation of a miracle, which offers infinite possibilities of interpretation and understanding to its reader. The Prophet Mohammad points out this miracle and states that “All prophets are absolutely given miracles regarding </w:t>
      </w:r>
      <w:proofErr w:type="gramStart"/>
      <w:r w:rsidRPr="00222B7B">
        <w:rPr>
          <w:rFonts w:ascii="Times New Roman" w:hAnsi="Times New Roman" w:cs="Times New Roman"/>
          <w:sz w:val="22"/>
          <w:szCs w:val="22"/>
          <w:lang w:val="en-US"/>
        </w:rPr>
        <w:t>those kind of things</w:t>
      </w:r>
      <w:proofErr w:type="gramEnd"/>
      <w:r w:rsidRPr="00222B7B">
        <w:rPr>
          <w:rFonts w:ascii="Times New Roman" w:hAnsi="Times New Roman" w:cs="Times New Roman"/>
          <w:sz w:val="22"/>
          <w:szCs w:val="22"/>
          <w:lang w:val="en-US"/>
        </w:rPr>
        <w:t xml:space="preserve"> that people have been believing so far. What was given to me is ‘revelation’.”</w:t>
      </w:r>
      <w:r w:rsidRPr="00222B7B">
        <w:rPr>
          <w:rStyle w:val="FootnoteReference"/>
          <w:rFonts w:ascii="Times New Roman" w:hAnsi="Times New Roman" w:cs="Times New Roman"/>
          <w:sz w:val="22"/>
          <w:szCs w:val="22"/>
          <w:lang w:val="en-US"/>
        </w:rPr>
        <w:footnoteReference w:id="2"/>
      </w:r>
    </w:p>
    <w:p w14:paraId="1C42B341" w14:textId="77777777" w:rsidR="00222B7B" w:rsidRPr="00222B7B" w:rsidRDefault="00222B7B" w:rsidP="00222B7B">
      <w:pPr>
        <w:spacing w:after="60"/>
        <w:jc w:val="both"/>
        <w:rPr>
          <w:rFonts w:ascii="Times New Roman" w:hAnsi="Times New Roman" w:cs="Times New Roman"/>
          <w:sz w:val="22"/>
          <w:szCs w:val="22"/>
          <w:lang w:val="en-US"/>
        </w:rPr>
      </w:pPr>
      <w:r w:rsidRPr="00222B7B">
        <w:rPr>
          <w:rFonts w:ascii="Times New Roman" w:hAnsi="Times New Roman" w:cs="Times New Roman"/>
          <w:sz w:val="22"/>
          <w:szCs w:val="22"/>
          <w:lang w:val="en-US"/>
        </w:rPr>
        <w:lastRenderedPageBreak/>
        <w:t>The meaning of the word Quran is “what/which is read”. When the first revelation was revealed / inspired, the Prophet didn’t know what to read.</w:t>
      </w:r>
      <w:r w:rsidRPr="00222B7B">
        <w:rPr>
          <w:rStyle w:val="FootnoteReference"/>
          <w:rFonts w:ascii="Times New Roman" w:hAnsi="Times New Roman" w:cs="Times New Roman"/>
          <w:sz w:val="22"/>
          <w:szCs w:val="22"/>
          <w:lang w:val="en-US"/>
        </w:rPr>
        <w:footnoteReference w:id="3"/>
      </w:r>
      <w:r w:rsidRPr="00222B7B">
        <w:rPr>
          <w:rFonts w:ascii="Times New Roman" w:hAnsi="Times New Roman" w:cs="Times New Roman"/>
          <w:sz w:val="22"/>
          <w:szCs w:val="22"/>
          <w:lang w:val="en-US"/>
        </w:rPr>
        <w:t xml:space="preserve"> Though many sources disdaining the Prophet put an interpretation on being illiterate of him, the words of Quran point out the beginning of a miracle, not the ignorance, since Quran is not a book in sight but a revelation read by the name of Lord. Likewise, Jesus reads the Torah and concludes that this book has pointed out himself. No doubt, that is correct. Because, all of the holy books (otherwise it can’t be called holy) point out the human being. One who reads holy book, reads “human being”, the one who is able to accomplish reading it, reads “himself” only. Therefore, “what is read” is only the human being.</w:t>
      </w:r>
    </w:p>
    <w:p w14:paraId="45E37684" w14:textId="77777777" w:rsidR="00222B7B" w:rsidRPr="00222B7B" w:rsidRDefault="00222B7B" w:rsidP="00222B7B">
      <w:pPr>
        <w:spacing w:after="60"/>
        <w:jc w:val="both"/>
        <w:rPr>
          <w:rFonts w:ascii="Times New Roman" w:hAnsi="Times New Roman" w:cs="Times New Roman"/>
          <w:sz w:val="22"/>
          <w:szCs w:val="22"/>
          <w:lang w:val="en-US"/>
        </w:rPr>
      </w:pPr>
      <w:r w:rsidRPr="00222B7B">
        <w:rPr>
          <w:rFonts w:ascii="Times New Roman" w:hAnsi="Times New Roman" w:cs="Times New Roman"/>
          <w:sz w:val="22"/>
          <w:szCs w:val="22"/>
          <w:lang w:val="en-US"/>
        </w:rPr>
        <w:t>Law Book / Code is human being.</w:t>
      </w:r>
      <w:r w:rsidRPr="00222B7B">
        <w:rPr>
          <w:rStyle w:val="FootnoteReference"/>
          <w:rFonts w:ascii="Times New Roman" w:hAnsi="Times New Roman" w:cs="Times New Roman"/>
          <w:sz w:val="22"/>
          <w:szCs w:val="22"/>
          <w:lang w:val="en-US"/>
        </w:rPr>
        <w:footnoteReference w:id="4"/>
      </w:r>
      <w:r w:rsidRPr="00222B7B">
        <w:rPr>
          <w:rFonts w:ascii="Times New Roman" w:hAnsi="Times New Roman" w:cs="Times New Roman"/>
          <w:sz w:val="22"/>
          <w:szCs w:val="22"/>
          <w:lang w:val="en-US"/>
        </w:rPr>
        <w:t xml:space="preserve"> What is read, Quran is human being. Talker / Voiced Quran</w:t>
      </w:r>
      <w:r w:rsidRPr="00222B7B">
        <w:rPr>
          <w:rStyle w:val="FootnoteReference"/>
          <w:rFonts w:ascii="Times New Roman" w:hAnsi="Times New Roman" w:cs="Times New Roman"/>
          <w:sz w:val="22"/>
          <w:szCs w:val="22"/>
          <w:lang w:val="en-US"/>
        </w:rPr>
        <w:footnoteReference w:id="5"/>
      </w:r>
      <w:r w:rsidRPr="00222B7B">
        <w:rPr>
          <w:rFonts w:ascii="Times New Roman" w:hAnsi="Times New Roman" w:cs="Times New Roman"/>
          <w:sz w:val="22"/>
          <w:szCs w:val="22"/>
          <w:lang w:val="en-US"/>
        </w:rPr>
        <w:t xml:space="preserve"> is human being, Stringed Quran is also human being.</w:t>
      </w:r>
      <w:r w:rsidRPr="00222B7B">
        <w:rPr>
          <w:rStyle w:val="FootnoteReference"/>
          <w:rFonts w:ascii="Times New Roman" w:hAnsi="Times New Roman" w:cs="Times New Roman"/>
          <w:sz w:val="22"/>
          <w:szCs w:val="22"/>
          <w:lang w:val="en-US"/>
        </w:rPr>
        <w:footnoteReference w:id="6"/>
      </w:r>
      <w:r w:rsidRPr="00222B7B">
        <w:rPr>
          <w:rFonts w:ascii="Times New Roman" w:hAnsi="Times New Roman" w:cs="Times New Roman"/>
          <w:sz w:val="22"/>
          <w:szCs w:val="22"/>
          <w:lang w:val="en-US"/>
        </w:rPr>
        <w:t xml:space="preserve"> Book of Universe / Creation is human being. Book of Trueness</w:t>
      </w:r>
      <w:r w:rsidRPr="00222B7B">
        <w:rPr>
          <w:rStyle w:val="FootnoteReference"/>
          <w:rFonts w:ascii="Times New Roman" w:hAnsi="Times New Roman" w:cs="Times New Roman"/>
          <w:sz w:val="22"/>
          <w:szCs w:val="22"/>
          <w:lang w:val="en-US"/>
        </w:rPr>
        <w:footnoteReference w:id="7"/>
      </w:r>
      <w:r w:rsidRPr="00222B7B">
        <w:rPr>
          <w:rFonts w:ascii="Times New Roman" w:hAnsi="Times New Roman" w:cs="Times New Roman"/>
          <w:sz w:val="22"/>
          <w:szCs w:val="22"/>
          <w:lang w:val="en-US"/>
        </w:rPr>
        <w:t xml:space="preserve"> is human being. Book of Life</w:t>
      </w:r>
      <w:r w:rsidRPr="00222B7B">
        <w:rPr>
          <w:rStyle w:val="FootnoteReference"/>
          <w:rFonts w:ascii="Times New Roman" w:hAnsi="Times New Roman" w:cs="Times New Roman"/>
          <w:sz w:val="22"/>
          <w:szCs w:val="22"/>
          <w:lang w:val="en-US"/>
        </w:rPr>
        <w:footnoteReference w:id="8"/>
      </w:r>
      <w:r w:rsidRPr="00222B7B">
        <w:rPr>
          <w:rFonts w:ascii="Times New Roman" w:hAnsi="Times New Roman" w:cs="Times New Roman"/>
          <w:sz w:val="22"/>
          <w:szCs w:val="22"/>
          <w:lang w:val="en-US"/>
        </w:rPr>
        <w:t xml:space="preserve"> is human being. </w:t>
      </w:r>
      <w:proofErr w:type="gramStart"/>
      <w:r w:rsidRPr="00222B7B">
        <w:rPr>
          <w:rFonts w:ascii="Times New Roman" w:hAnsi="Times New Roman" w:cs="Times New Roman"/>
          <w:sz w:val="22"/>
          <w:szCs w:val="22"/>
          <w:lang w:val="en-US"/>
        </w:rPr>
        <w:t>Finally</w:t>
      </w:r>
      <w:proofErr w:type="gramEnd"/>
      <w:r w:rsidRPr="00222B7B">
        <w:rPr>
          <w:rFonts w:ascii="Times New Roman" w:hAnsi="Times New Roman" w:cs="Times New Roman"/>
          <w:sz w:val="22"/>
          <w:szCs w:val="22"/>
          <w:lang w:val="en-US"/>
        </w:rPr>
        <w:t xml:space="preserve"> the Sealed Book</w:t>
      </w:r>
      <w:r w:rsidRPr="00222B7B">
        <w:rPr>
          <w:rStyle w:val="FootnoteReference"/>
          <w:rFonts w:ascii="Times New Roman" w:hAnsi="Times New Roman" w:cs="Times New Roman"/>
          <w:sz w:val="22"/>
          <w:szCs w:val="22"/>
          <w:lang w:val="en-US"/>
        </w:rPr>
        <w:footnoteReference w:id="9"/>
      </w:r>
      <w:r w:rsidRPr="00222B7B">
        <w:rPr>
          <w:rFonts w:ascii="Times New Roman" w:hAnsi="Times New Roman" w:cs="Times New Roman"/>
          <w:sz w:val="22"/>
          <w:szCs w:val="22"/>
          <w:lang w:val="en-US"/>
        </w:rPr>
        <w:t xml:space="preserve"> is human being and he who will unseal it and will go back to his origin is also the human being.</w:t>
      </w:r>
    </w:p>
    <w:p w14:paraId="32F63228" w14:textId="16D3919F" w:rsidR="009D6343" w:rsidRPr="00222B7B" w:rsidRDefault="00222B7B" w:rsidP="00222B7B">
      <w:pPr>
        <w:spacing w:after="60"/>
        <w:jc w:val="both"/>
        <w:rPr>
          <w:rFonts w:ascii="Times New Roman" w:hAnsi="Times New Roman" w:cs="Times New Roman"/>
          <w:sz w:val="22"/>
          <w:szCs w:val="22"/>
          <w:lang w:val="en-US"/>
        </w:rPr>
      </w:pPr>
      <w:r w:rsidRPr="00222B7B">
        <w:rPr>
          <w:rFonts w:ascii="Times New Roman" w:hAnsi="Times New Roman" w:cs="Times New Roman"/>
          <w:sz w:val="22"/>
          <w:szCs w:val="22"/>
          <w:lang w:val="en-US"/>
        </w:rPr>
        <w:t xml:space="preserve">In that case, every reading of man is an effort of finding what is lost in and of itself and further search of itself. </w:t>
      </w:r>
      <w:proofErr w:type="gramStart"/>
      <w:r w:rsidRPr="00222B7B">
        <w:rPr>
          <w:rFonts w:ascii="Times New Roman" w:hAnsi="Times New Roman" w:cs="Times New Roman"/>
          <w:sz w:val="22"/>
          <w:szCs w:val="22"/>
          <w:lang w:val="en-US"/>
        </w:rPr>
        <w:t>Therefore</w:t>
      </w:r>
      <w:proofErr w:type="gramEnd"/>
      <w:r w:rsidRPr="00222B7B">
        <w:rPr>
          <w:rFonts w:ascii="Times New Roman" w:hAnsi="Times New Roman" w:cs="Times New Roman"/>
          <w:sz w:val="22"/>
          <w:szCs w:val="22"/>
          <w:lang w:val="en-US"/>
        </w:rPr>
        <w:t xml:space="preserve"> it is of no concern how assertive the interpretation is. Only the sincerity of reader is taken into consideration. In brief, if there is sincerity, every interpretation is a prayer to approach oneself. The one whose prayer has come true is responsible of the interpretation he has made. Responsibility further makes him approach himself. So then, the ear should hear and the conscience should weigh up the word that gets out of the mouth. One who is convinced in </w:t>
      </w:r>
      <w:r w:rsidRPr="00222B7B">
        <w:rPr>
          <w:rFonts w:ascii="Times New Roman" w:hAnsi="Times New Roman" w:cs="Times New Roman"/>
          <w:i/>
          <w:sz w:val="22"/>
          <w:szCs w:val="22"/>
          <w:lang w:val="en-US"/>
        </w:rPr>
        <w:t>kalam</w:t>
      </w:r>
      <w:r w:rsidRPr="00222B7B">
        <w:rPr>
          <w:rFonts w:ascii="Times New Roman" w:hAnsi="Times New Roman" w:cs="Times New Roman"/>
          <w:sz w:val="22"/>
          <w:szCs w:val="22"/>
          <w:lang w:val="en-US"/>
        </w:rPr>
        <w:t xml:space="preserve"> (word) should profess courageously and should rest on God. To interpret the sacred necessitates this.</w:t>
      </w:r>
    </w:p>
    <w:sectPr w:rsidR="009D6343" w:rsidRPr="00222B7B" w:rsidSect="004D2A96">
      <w:pgSz w:w="11900" w:h="16840"/>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415EA9C" w14:textId="77777777" w:rsidR="00030357" w:rsidRDefault="00030357" w:rsidP="00222B7B">
      <w:r>
        <w:separator/>
      </w:r>
    </w:p>
  </w:endnote>
  <w:endnote w:type="continuationSeparator" w:id="0">
    <w:p w14:paraId="48FA658C" w14:textId="77777777" w:rsidR="00030357" w:rsidRDefault="00030357" w:rsidP="00222B7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entury Schoolbook">
    <w:panose1 w:val="02040604050505020304"/>
    <w:charset w:val="00"/>
    <w:family w:val="auto"/>
    <w:pitch w:val="variable"/>
    <w:sig w:usb0="800000AF" w:usb1="5000204A" w:usb2="00000000" w:usb3="00000000" w:csb0="00000013" w:csb1="00000000"/>
  </w:font>
  <w:font w:name="MyriadPro-Cond">
    <w:altName w:val="Calibri"/>
    <w:panose1 w:val="020B0506030403020204"/>
    <w:charset w:val="4D"/>
    <w:family w:val="auto"/>
    <w:notTrueType/>
    <w:pitch w:val="default"/>
    <w:sig w:usb0="00000003" w:usb1="00000000" w:usb2="00000000" w:usb3="00000000" w:csb0="00000001" w:csb1="00000000"/>
  </w:font>
  <w:font w:name="Yu Gothic Light">
    <w:altName w:val="游ゴシック Light"/>
    <w:panose1 w:val="020B0300000000000000"/>
    <w:charset w:val="80"/>
    <w:family w:val="roman"/>
    <w:notTrueType/>
    <w:pitch w:val="default"/>
  </w:font>
  <w:font w:name="Calibri Light">
    <w:panose1 w:val="020F0302020204030204"/>
    <w:charset w:val="00"/>
    <w:family w:val="swiss"/>
    <w:pitch w:val="variable"/>
    <w:sig w:usb0="E0002AFF" w:usb1="C000247B" w:usb2="00000009" w:usb3="00000000" w:csb0="000001FF" w:csb1="00000000"/>
  </w:font>
  <w:font w:name="Yu Mincho">
    <w:altName w:val="游明朝"/>
    <w:panose1 w:val="02020400000000000000"/>
    <w:charset w:val="80"/>
    <w:family w:val="roman"/>
    <w:notTrueType/>
    <w:pitch w:val="default"/>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6D19C30" w14:textId="77777777" w:rsidR="00030357" w:rsidRDefault="00030357" w:rsidP="00222B7B">
      <w:r>
        <w:separator/>
      </w:r>
    </w:p>
  </w:footnote>
  <w:footnote w:type="continuationSeparator" w:id="0">
    <w:p w14:paraId="2BAF5A39" w14:textId="77777777" w:rsidR="00030357" w:rsidRDefault="00030357" w:rsidP="00222B7B">
      <w:r>
        <w:continuationSeparator/>
      </w:r>
    </w:p>
  </w:footnote>
  <w:footnote w:id="1">
    <w:p w14:paraId="2579223B" w14:textId="77777777" w:rsidR="00222B7B" w:rsidRPr="00BF5557" w:rsidRDefault="00222B7B" w:rsidP="00222B7B">
      <w:pPr>
        <w:pStyle w:val="FootnoteText"/>
        <w:rPr>
          <w:rFonts w:ascii="Times New Roman" w:hAnsi="Times New Roman" w:cs="Times New Roman"/>
          <w:sz w:val="18"/>
          <w:szCs w:val="18"/>
          <w:lang w:val="en-US"/>
        </w:rPr>
      </w:pPr>
      <w:r w:rsidRPr="00BF5557">
        <w:rPr>
          <w:rStyle w:val="FootnoteReference"/>
          <w:rFonts w:ascii="Times New Roman" w:hAnsi="Times New Roman" w:cs="Times New Roman"/>
          <w:sz w:val="18"/>
          <w:szCs w:val="18"/>
          <w:lang w:val="en-US"/>
        </w:rPr>
        <w:footnoteRef/>
      </w:r>
      <w:r w:rsidRPr="00BF5557">
        <w:rPr>
          <w:rFonts w:ascii="Times New Roman" w:hAnsi="Times New Roman" w:cs="Times New Roman"/>
          <w:sz w:val="18"/>
          <w:szCs w:val="18"/>
          <w:lang w:val="en-US"/>
        </w:rPr>
        <w:t xml:space="preserve"> Borges, Jorge Luis; </w:t>
      </w:r>
      <w:r w:rsidRPr="00BF5557">
        <w:rPr>
          <w:rFonts w:ascii="Times New Roman" w:hAnsi="Times New Roman" w:cs="Times New Roman"/>
          <w:i/>
          <w:sz w:val="18"/>
          <w:szCs w:val="18"/>
          <w:lang w:val="en-US"/>
        </w:rPr>
        <w:t>the Book of Sand</w:t>
      </w:r>
      <w:r w:rsidRPr="00BF5557">
        <w:rPr>
          <w:rFonts w:ascii="Times New Roman" w:hAnsi="Times New Roman" w:cs="Times New Roman"/>
          <w:sz w:val="18"/>
          <w:szCs w:val="18"/>
          <w:lang w:val="en-US"/>
        </w:rPr>
        <w:t xml:space="preserve">, translated by </w:t>
      </w:r>
      <w:proofErr w:type="spellStart"/>
      <w:r w:rsidRPr="00BF5557">
        <w:rPr>
          <w:rFonts w:ascii="Times New Roman" w:hAnsi="Times New Roman" w:cs="Times New Roman"/>
          <w:sz w:val="18"/>
          <w:szCs w:val="18"/>
          <w:lang w:val="en-US"/>
        </w:rPr>
        <w:t>Yıldız</w:t>
      </w:r>
      <w:proofErr w:type="spellEnd"/>
      <w:r w:rsidRPr="00BF5557">
        <w:rPr>
          <w:rFonts w:ascii="Times New Roman" w:hAnsi="Times New Roman" w:cs="Times New Roman"/>
          <w:sz w:val="18"/>
          <w:szCs w:val="18"/>
          <w:lang w:val="en-US"/>
        </w:rPr>
        <w:t xml:space="preserve"> </w:t>
      </w:r>
      <w:proofErr w:type="spellStart"/>
      <w:r w:rsidRPr="00BF5557">
        <w:rPr>
          <w:rFonts w:ascii="Times New Roman" w:hAnsi="Times New Roman" w:cs="Times New Roman"/>
          <w:sz w:val="18"/>
          <w:szCs w:val="18"/>
          <w:lang w:val="en-US"/>
        </w:rPr>
        <w:t>Ersoy</w:t>
      </w:r>
      <w:proofErr w:type="spellEnd"/>
      <w:r w:rsidRPr="00BF5557">
        <w:rPr>
          <w:rFonts w:ascii="Times New Roman" w:hAnsi="Times New Roman" w:cs="Times New Roman"/>
          <w:sz w:val="18"/>
          <w:szCs w:val="18"/>
          <w:lang w:val="en-US"/>
        </w:rPr>
        <w:t xml:space="preserve"> </w:t>
      </w:r>
      <w:proofErr w:type="spellStart"/>
      <w:r w:rsidRPr="00BF5557">
        <w:rPr>
          <w:rFonts w:ascii="Times New Roman" w:hAnsi="Times New Roman" w:cs="Times New Roman"/>
          <w:sz w:val="18"/>
          <w:szCs w:val="18"/>
          <w:lang w:val="en-US"/>
        </w:rPr>
        <w:t>Canpolat</w:t>
      </w:r>
      <w:proofErr w:type="spellEnd"/>
      <w:r w:rsidRPr="00BF5557">
        <w:rPr>
          <w:rFonts w:ascii="Times New Roman" w:hAnsi="Times New Roman" w:cs="Times New Roman"/>
          <w:sz w:val="18"/>
          <w:szCs w:val="18"/>
          <w:lang w:val="en-US"/>
        </w:rPr>
        <w:t xml:space="preserve">, </w:t>
      </w:r>
      <w:proofErr w:type="spellStart"/>
      <w:r w:rsidRPr="00BF5557">
        <w:rPr>
          <w:rFonts w:ascii="Times New Roman" w:hAnsi="Times New Roman" w:cs="Times New Roman"/>
          <w:sz w:val="18"/>
          <w:szCs w:val="18"/>
          <w:lang w:val="en-US"/>
        </w:rPr>
        <w:t>İletişim</w:t>
      </w:r>
      <w:proofErr w:type="spellEnd"/>
      <w:r w:rsidRPr="00BF5557">
        <w:rPr>
          <w:rFonts w:ascii="Times New Roman" w:hAnsi="Times New Roman" w:cs="Times New Roman"/>
          <w:sz w:val="18"/>
          <w:szCs w:val="18"/>
          <w:lang w:val="en-US"/>
        </w:rPr>
        <w:t xml:space="preserve"> Publication, Istanbul, 2013</w:t>
      </w:r>
    </w:p>
  </w:footnote>
  <w:footnote w:id="2">
    <w:p w14:paraId="3322F7CB" w14:textId="77777777" w:rsidR="00222B7B" w:rsidRPr="00BF5557" w:rsidRDefault="00222B7B" w:rsidP="00222B7B">
      <w:pPr>
        <w:pStyle w:val="FootnoteText"/>
        <w:rPr>
          <w:rFonts w:ascii="Times New Roman" w:hAnsi="Times New Roman" w:cs="Times New Roman"/>
          <w:sz w:val="18"/>
          <w:szCs w:val="18"/>
          <w:lang w:val="en-US"/>
        </w:rPr>
      </w:pPr>
      <w:r w:rsidRPr="00BF5557">
        <w:rPr>
          <w:rStyle w:val="FootnoteReference"/>
          <w:rFonts w:ascii="Times New Roman" w:hAnsi="Times New Roman" w:cs="Times New Roman"/>
          <w:sz w:val="18"/>
          <w:szCs w:val="18"/>
          <w:lang w:val="en-US"/>
        </w:rPr>
        <w:footnoteRef/>
      </w:r>
      <w:r w:rsidRPr="00BF5557">
        <w:rPr>
          <w:rFonts w:ascii="Times New Roman" w:hAnsi="Times New Roman" w:cs="Times New Roman"/>
          <w:sz w:val="18"/>
          <w:szCs w:val="18"/>
          <w:lang w:val="en-US"/>
        </w:rPr>
        <w:t xml:space="preserve"> Buhari, </w:t>
      </w:r>
      <w:proofErr w:type="spellStart"/>
      <w:r w:rsidRPr="00BF5557">
        <w:rPr>
          <w:rFonts w:ascii="Times New Roman" w:hAnsi="Times New Roman" w:cs="Times New Roman"/>
          <w:i/>
          <w:sz w:val="18"/>
          <w:szCs w:val="18"/>
          <w:lang w:val="en-US"/>
        </w:rPr>
        <w:t>Fezailu’l</w:t>
      </w:r>
      <w:proofErr w:type="spellEnd"/>
      <w:r w:rsidRPr="00BF5557">
        <w:rPr>
          <w:rFonts w:ascii="Times New Roman" w:hAnsi="Times New Roman" w:cs="Times New Roman"/>
          <w:i/>
          <w:sz w:val="18"/>
          <w:szCs w:val="18"/>
          <w:lang w:val="en-US"/>
        </w:rPr>
        <w:t xml:space="preserve"> </w:t>
      </w:r>
      <w:proofErr w:type="spellStart"/>
      <w:r w:rsidRPr="00BF5557">
        <w:rPr>
          <w:rFonts w:ascii="Times New Roman" w:hAnsi="Times New Roman" w:cs="Times New Roman"/>
          <w:i/>
          <w:sz w:val="18"/>
          <w:szCs w:val="18"/>
          <w:lang w:val="en-US"/>
        </w:rPr>
        <w:t>Kuran</w:t>
      </w:r>
      <w:proofErr w:type="spellEnd"/>
      <w:r w:rsidRPr="00BF5557">
        <w:rPr>
          <w:rFonts w:ascii="Times New Roman" w:hAnsi="Times New Roman" w:cs="Times New Roman"/>
          <w:i/>
          <w:sz w:val="18"/>
          <w:szCs w:val="18"/>
          <w:lang w:val="en-US"/>
        </w:rPr>
        <w:t xml:space="preserve"> 1</w:t>
      </w:r>
      <w:r w:rsidRPr="00BF5557">
        <w:rPr>
          <w:rFonts w:ascii="Times New Roman" w:hAnsi="Times New Roman" w:cs="Times New Roman"/>
          <w:sz w:val="18"/>
          <w:szCs w:val="18"/>
          <w:lang w:val="en-US"/>
        </w:rPr>
        <w:t xml:space="preserve">, </w:t>
      </w:r>
      <w:proofErr w:type="spellStart"/>
      <w:r w:rsidRPr="00BF5557">
        <w:rPr>
          <w:rFonts w:ascii="Times New Roman" w:hAnsi="Times New Roman" w:cs="Times New Roman"/>
          <w:sz w:val="18"/>
          <w:szCs w:val="18"/>
          <w:lang w:val="en-US"/>
        </w:rPr>
        <w:t>İtisam</w:t>
      </w:r>
      <w:proofErr w:type="spellEnd"/>
      <w:r w:rsidRPr="00BF5557">
        <w:rPr>
          <w:rFonts w:ascii="Times New Roman" w:hAnsi="Times New Roman" w:cs="Times New Roman"/>
          <w:sz w:val="18"/>
          <w:szCs w:val="18"/>
          <w:lang w:val="en-US"/>
        </w:rPr>
        <w:t xml:space="preserve"> 1; </w:t>
      </w:r>
      <w:proofErr w:type="spellStart"/>
      <w:r w:rsidRPr="00BF5557">
        <w:rPr>
          <w:rFonts w:ascii="Times New Roman" w:hAnsi="Times New Roman" w:cs="Times New Roman"/>
          <w:sz w:val="18"/>
          <w:szCs w:val="18"/>
          <w:lang w:val="en-US"/>
        </w:rPr>
        <w:t>Müslim</w:t>
      </w:r>
      <w:proofErr w:type="spellEnd"/>
      <w:r w:rsidRPr="00BF5557">
        <w:rPr>
          <w:rFonts w:ascii="Times New Roman" w:hAnsi="Times New Roman" w:cs="Times New Roman"/>
          <w:sz w:val="18"/>
          <w:szCs w:val="18"/>
          <w:lang w:val="en-US"/>
        </w:rPr>
        <w:t>, Faith 239, (152) Source: www.sorularlaislamiyet.com</w:t>
      </w:r>
    </w:p>
  </w:footnote>
  <w:footnote w:id="3">
    <w:p w14:paraId="5F88EFBA" w14:textId="77777777" w:rsidR="00222B7B" w:rsidRPr="00BF5557" w:rsidRDefault="00222B7B" w:rsidP="00222B7B">
      <w:pPr>
        <w:pStyle w:val="FootnoteText"/>
        <w:rPr>
          <w:rFonts w:ascii="Times New Roman" w:hAnsi="Times New Roman" w:cs="Times New Roman"/>
          <w:sz w:val="18"/>
          <w:szCs w:val="18"/>
          <w:lang w:val="en-US"/>
        </w:rPr>
      </w:pPr>
      <w:r w:rsidRPr="00BF5557">
        <w:rPr>
          <w:rStyle w:val="FootnoteReference"/>
          <w:rFonts w:ascii="Times New Roman" w:hAnsi="Times New Roman" w:cs="Times New Roman"/>
          <w:sz w:val="18"/>
          <w:szCs w:val="18"/>
          <w:lang w:val="en-US"/>
        </w:rPr>
        <w:footnoteRef/>
      </w:r>
      <w:r w:rsidRPr="00BF5557">
        <w:rPr>
          <w:rFonts w:ascii="Times New Roman" w:hAnsi="Times New Roman" w:cs="Times New Roman"/>
          <w:sz w:val="18"/>
          <w:szCs w:val="18"/>
          <w:lang w:val="en-US"/>
        </w:rPr>
        <w:t xml:space="preserve"> Quran, </w:t>
      </w:r>
      <w:proofErr w:type="spellStart"/>
      <w:r w:rsidRPr="00BF5557">
        <w:rPr>
          <w:rFonts w:ascii="Times New Roman" w:hAnsi="Times New Roman" w:cs="Times New Roman"/>
          <w:i/>
          <w:sz w:val="18"/>
          <w:szCs w:val="18"/>
          <w:lang w:val="en-US"/>
        </w:rPr>
        <w:t>Alak</w:t>
      </w:r>
      <w:proofErr w:type="spellEnd"/>
      <w:r w:rsidRPr="00BF5557">
        <w:rPr>
          <w:rFonts w:ascii="Times New Roman" w:hAnsi="Times New Roman" w:cs="Times New Roman"/>
          <w:sz w:val="18"/>
          <w:szCs w:val="18"/>
          <w:lang w:val="en-US"/>
        </w:rPr>
        <w:t xml:space="preserve"> 96:1</w:t>
      </w:r>
    </w:p>
  </w:footnote>
  <w:footnote w:id="4">
    <w:p w14:paraId="23618944" w14:textId="77777777" w:rsidR="00222B7B" w:rsidRPr="00BF5557" w:rsidRDefault="00222B7B" w:rsidP="00222B7B">
      <w:pPr>
        <w:pStyle w:val="FootnoteText"/>
        <w:rPr>
          <w:rFonts w:ascii="Times New Roman" w:hAnsi="Times New Roman" w:cs="Times New Roman"/>
          <w:sz w:val="18"/>
          <w:szCs w:val="18"/>
          <w:lang w:val="en-US"/>
        </w:rPr>
      </w:pPr>
      <w:r w:rsidRPr="00BF5557">
        <w:rPr>
          <w:rStyle w:val="FootnoteReference"/>
          <w:rFonts w:ascii="Times New Roman" w:hAnsi="Times New Roman" w:cs="Times New Roman"/>
          <w:sz w:val="18"/>
          <w:szCs w:val="18"/>
          <w:lang w:val="en-US"/>
        </w:rPr>
        <w:footnoteRef/>
      </w:r>
      <w:r w:rsidRPr="00BF5557">
        <w:rPr>
          <w:rFonts w:ascii="Times New Roman" w:hAnsi="Times New Roman" w:cs="Times New Roman"/>
          <w:sz w:val="18"/>
          <w:szCs w:val="18"/>
          <w:lang w:val="en-US"/>
        </w:rPr>
        <w:t xml:space="preserve"> Torah, </w:t>
      </w:r>
      <w:r w:rsidRPr="00BF5557">
        <w:rPr>
          <w:rFonts w:ascii="Times New Roman" w:hAnsi="Times New Roman" w:cs="Times New Roman"/>
          <w:i/>
          <w:sz w:val="18"/>
          <w:szCs w:val="18"/>
          <w:lang w:val="en-US"/>
        </w:rPr>
        <w:t>Deuteronomy</w:t>
      </w:r>
      <w:r w:rsidRPr="00BF5557">
        <w:rPr>
          <w:rFonts w:ascii="Times New Roman" w:hAnsi="Times New Roman" w:cs="Times New Roman"/>
          <w:sz w:val="18"/>
          <w:szCs w:val="18"/>
          <w:lang w:val="en-US"/>
        </w:rPr>
        <w:t xml:space="preserve"> 28:61</w:t>
      </w:r>
    </w:p>
  </w:footnote>
  <w:footnote w:id="5">
    <w:p w14:paraId="6FDBAF3F" w14:textId="77777777" w:rsidR="00222B7B" w:rsidRPr="00BF5557" w:rsidRDefault="00222B7B" w:rsidP="00222B7B">
      <w:pPr>
        <w:pStyle w:val="FootnoteText"/>
        <w:rPr>
          <w:rFonts w:ascii="Times New Roman" w:hAnsi="Times New Roman" w:cs="Times New Roman"/>
          <w:sz w:val="18"/>
          <w:szCs w:val="18"/>
          <w:lang w:val="en-US"/>
        </w:rPr>
      </w:pPr>
      <w:r w:rsidRPr="00BF5557">
        <w:rPr>
          <w:rStyle w:val="FootnoteReference"/>
          <w:rFonts w:ascii="Times New Roman" w:hAnsi="Times New Roman" w:cs="Times New Roman"/>
          <w:sz w:val="18"/>
          <w:szCs w:val="18"/>
          <w:lang w:val="en-US"/>
        </w:rPr>
        <w:footnoteRef/>
      </w:r>
      <w:r w:rsidRPr="00BF5557">
        <w:rPr>
          <w:rFonts w:ascii="Times New Roman" w:hAnsi="Times New Roman" w:cs="Times New Roman"/>
          <w:sz w:val="18"/>
          <w:szCs w:val="18"/>
          <w:lang w:val="en-US"/>
        </w:rPr>
        <w:t xml:space="preserve"> </w:t>
      </w:r>
      <w:proofErr w:type="spellStart"/>
      <w:r w:rsidRPr="00BF5557">
        <w:rPr>
          <w:rFonts w:ascii="Times New Roman" w:hAnsi="Times New Roman" w:cs="Times New Roman"/>
          <w:sz w:val="18"/>
          <w:szCs w:val="18"/>
          <w:lang w:val="en-US"/>
        </w:rPr>
        <w:t>Kuran</w:t>
      </w:r>
      <w:proofErr w:type="spellEnd"/>
      <w:r w:rsidRPr="00BF5557">
        <w:rPr>
          <w:rFonts w:ascii="Times New Roman" w:hAnsi="Times New Roman" w:cs="Times New Roman"/>
          <w:sz w:val="18"/>
          <w:szCs w:val="18"/>
          <w:lang w:val="en-US"/>
        </w:rPr>
        <w:t xml:space="preserve">-ı </w:t>
      </w:r>
      <w:proofErr w:type="spellStart"/>
      <w:r w:rsidRPr="00BF5557">
        <w:rPr>
          <w:rFonts w:ascii="Times New Roman" w:hAnsi="Times New Roman" w:cs="Times New Roman"/>
          <w:sz w:val="18"/>
          <w:szCs w:val="18"/>
          <w:lang w:val="en-US"/>
        </w:rPr>
        <w:t>Natık</w:t>
      </w:r>
      <w:proofErr w:type="spellEnd"/>
      <w:r w:rsidRPr="00BF5557">
        <w:rPr>
          <w:rFonts w:ascii="Times New Roman" w:hAnsi="Times New Roman" w:cs="Times New Roman"/>
          <w:sz w:val="18"/>
          <w:szCs w:val="18"/>
          <w:lang w:val="en-US"/>
        </w:rPr>
        <w:t xml:space="preserve"> – Talker / Voiced Quran – İmam Ali</w:t>
      </w:r>
    </w:p>
  </w:footnote>
  <w:footnote w:id="6">
    <w:p w14:paraId="59DEF0E8" w14:textId="77777777" w:rsidR="00222B7B" w:rsidRPr="00BF5557" w:rsidRDefault="00222B7B" w:rsidP="00222B7B">
      <w:pPr>
        <w:pStyle w:val="FootnoteText"/>
        <w:rPr>
          <w:rFonts w:ascii="Times New Roman" w:hAnsi="Times New Roman" w:cs="Times New Roman"/>
          <w:sz w:val="18"/>
          <w:szCs w:val="18"/>
          <w:lang w:val="en-US"/>
        </w:rPr>
      </w:pPr>
      <w:r w:rsidRPr="00BF5557">
        <w:rPr>
          <w:rStyle w:val="FootnoteReference"/>
          <w:rFonts w:ascii="Times New Roman" w:hAnsi="Times New Roman" w:cs="Times New Roman"/>
          <w:sz w:val="18"/>
          <w:szCs w:val="18"/>
          <w:lang w:val="en-US"/>
        </w:rPr>
        <w:footnoteRef/>
      </w:r>
      <w:r w:rsidRPr="00BF5557">
        <w:rPr>
          <w:rFonts w:ascii="Times New Roman" w:hAnsi="Times New Roman" w:cs="Times New Roman"/>
          <w:sz w:val="18"/>
          <w:szCs w:val="18"/>
          <w:lang w:val="en-US"/>
        </w:rPr>
        <w:t xml:space="preserve"> A term used </w:t>
      </w:r>
      <w:proofErr w:type="spellStart"/>
      <w:r w:rsidRPr="00BF5557">
        <w:rPr>
          <w:rFonts w:ascii="Times New Roman" w:hAnsi="Times New Roman" w:cs="Times New Roman"/>
          <w:sz w:val="18"/>
          <w:szCs w:val="18"/>
          <w:lang w:val="en-US"/>
        </w:rPr>
        <w:t>fort he</w:t>
      </w:r>
      <w:proofErr w:type="spellEnd"/>
      <w:r w:rsidRPr="00BF5557">
        <w:rPr>
          <w:rFonts w:ascii="Times New Roman" w:hAnsi="Times New Roman" w:cs="Times New Roman"/>
          <w:sz w:val="18"/>
          <w:szCs w:val="18"/>
          <w:lang w:val="en-US"/>
        </w:rPr>
        <w:t xml:space="preserve"> musical instrument (</w:t>
      </w:r>
      <w:proofErr w:type="spellStart"/>
      <w:r w:rsidRPr="00BF5557">
        <w:rPr>
          <w:rFonts w:ascii="Times New Roman" w:hAnsi="Times New Roman" w:cs="Times New Roman"/>
          <w:sz w:val="18"/>
          <w:szCs w:val="18"/>
          <w:lang w:val="en-US"/>
        </w:rPr>
        <w:t>bağlama</w:t>
      </w:r>
      <w:proofErr w:type="spellEnd"/>
      <w:r w:rsidRPr="00BF5557">
        <w:rPr>
          <w:rFonts w:ascii="Times New Roman" w:hAnsi="Times New Roman" w:cs="Times New Roman"/>
          <w:sz w:val="18"/>
          <w:szCs w:val="18"/>
          <w:lang w:val="en-US"/>
        </w:rPr>
        <w:t xml:space="preserve">) in </w:t>
      </w:r>
      <w:proofErr w:type="spellStart"/>
      <w:r w:rsidRPr="00BF5557">
        <w:rPr>
          <w:rFonts w:ascii="Times New Roman" w:hAnsi="Times New Roman" w:cs="Times New Roman"/>
          <w:sz w:val="18"/>
          <w:szCs w:val="18"/>
          <w:lang w:val="en-US"/>
        </w:rPr>
        <w:t>Alawia</w:t>
      </w:r>
      <w:proofErr w:type="spellEnd"/>
    </w:p>
  </w:footnote>
  <w:footnote w:id="7">
    <w:p w14:paraId="58CCD935" w14:textId="77777777" w:rsidR="00222B7B" w:rsidRPr="00BF5557" w:rsidRDefault="00222B7B" w:rsidP="00222B7B">
      <w:pPr>
        <w:pStyle w:val="FootnoteText"/>
        <w:rPr>
          <w:rFonts w:ascii="Times New Roman" w:hAnsi="Times New Roman" w:cs="Times New Roman"/>
          <w:sz w:val="18"/>
          <w:szCs w:val="18"/>
          <w:lang w:val="en-US"/>
        </w:rPr>
      </w:pPr>
      <w:r w:rsidRPr="00BF5557">
        <w:rPr>
          <w:rStyle w:val="FootnoteReference"/>
          <w:rFonts w:ascii="Times New Roman" w:hAnsi="Times New Roman" w:cs="Times New Roman"/>
          <w:sz w:val="18"/>
          <w:szCs w:val="18"/>
          <w:lang w:val="en-US"/>
        </w:rPr>
        <w:footnoteRef/>
      </w:r>
      <w:r w:rsidRPr="00BF5557">
        <w:rPr>
          <w:rFonts w:ascii="Times New Roman" w:hAnsi="Times New Roman" w:cs="Times New Roman"/>
          <w:sz w:val="18"/>
          <w:szCs w:val="18"/>
          <w:lang w:val="en-US"/>
        </w:rPr>
        <w:t xml:space="preserve"> Tanah, </w:t>
      </w:r>
      <w:r w:rsidRPr="00BF5557">
        <w:rPr>
          <w:rFonts w:ascii="Times New Roman" w:hAnsi="Times New Roman" w:cs="Times New Roman"/>
          <w:i/>
          <w:sz w:val="18"/>
          <w:szCs w:val="18"/>
          <w:lang w:val="en-US"/>
        </w:rPr>
        <w:t>Joshua</w:t>
      </w:r>
      <w:r w:rsidRPr="00BF5557">
        <w:rPr>
          <w:rFonts w:ascii="Times New Roman" w:hAnsi="Times New Roman" w:cs="Times New Roman"/>
          <w:sz w:val="18"/>
          <w:szCs w:val="18"/>
          <w:lang w:val="en-US"/>
        </w:rPr>
        <w:t xml:space="preserve"> 10:3</w:t>
      </w:r>
    </w:p>
  </w:footnote>
  <w:footnote w:id="8">
    <w:p w14:paraId="45B5B9CB" w14:textId="77777777" w:rsidR="00222B7B" w:rsidRPr="00BF5557" w:rsidRDefault="00222B7B" w:rsidP="00222B7B">
      <w:pPr>
        <w:pStyle w:val="FootnoteText"/>
        <w:rPr>
          <w:rFonts w:ascii="Times New Roman" w:hAnsi="Times New Roman" w:cs="Times New Roman"/>
          <w:sz w:val="18"/>
          <w:szCs w:val="18"/>
          <w:lang w:val="en-US"/>
        </w:rPr>
      </w:pPr>
      <w:r w:rsidRPr="00BF5557">
        <w:rPr>
          <w:rStyle w:val="FootnoteReference"/>
          <w:rFonts w:ascii="Times New Roman" w:hAnsi="Times New Roman" w:cs="Times New Roman"/>
          <w:sz w:val="18"/>
          <w:szCs w:val="18"/>
          <w:lang w:val="en-US"/>
        </w:rPr>
        <w:footnoteRef/>
      </w:r>
      <w:r w:rsidRPr="00BF5557">
        <w:rPr>
          <w:rFonts w:ascii="Times New Roman" w:hAnsi="Times New Roman" w:cs="Times New Roman"/>
          <w:sz w:val="18"/>
          <w:szCs w:val="18"/>
          <w:lang w:val="en-US"/>
        </w:rPr>
        <w:t xml:space="preserve"> Bible, </w:t>
      </w:r>
      <w:r w:rsidRPr="00BF5557">
        <w:rPr>
          <w:rFonts w:ascii="Times New Roman" w:hAnsi="Times New Roman" w:cs="Times New Roman"/>
          <w:i/>
          <w:sz w:val="18"/>
          <w:szCs w:val="18"/>
          <w:lang w:val="en-US"/>
        </w:rPr>
        <w:t>Revelation</w:t>
      </w:r>
      <w:r w:rsidRPr="00BF5557">
        <w:rPr>
          <w:rFonts w:ascii="Times New Roman" w:hAnsi="Times New Roman" w:cs="Times New Roman"/>
          <w:sz w:val="18"/>
          <w:szCs w:val="18"/>
          <w:lang w:val="en-US"/>
        </w:rPr>
        <w:t xml:space="preserve"> 20:12</w:t>
      </w:r>
    </w:p>
  </w:footnote>
  <w:footnote w:id="9">
    <w:p w14:paraId="67A57E08" w14:textId="77777777" w:rsidR="00222B7B" w:rsidRPr="00BF5557" w:rsidRDefault="00222B7B" w:rsidP="00222B7B">
      <w:pPr>
        <w:pStyle w:val="FootnoteText"/>
        <w:rPr>
          <w:rFonts w:ascii="Times New Roman" w:hAnsi="Times New Roman" w:cs="Times New Roman"/>
          <w:sz w:val="18"/>
          <w:szCs w:val="18"/>
          <w:lang w:val="en-US"/>
        </w:rPr>
      </w:pPr>
      <w:r w:rsidRPr="00BF5557">
        <w:rPr>
          <w:rStyle w:val="FootnoteReference"/>
          <w:rFonts w:ascii="Times New Roman" w:hAnsi="Times New Roman" w:cs="Times New Roman"/>
          <w:sz w:val="18"/>
          <w:szCs w:val="18"/>
          <w:lang w:val="en-US"/>
        </w:rPr>
        <w:footnoteRef/>
      </w:r>
      <w:r w:rsidRPr="00BF5557">
        <w:rPr>
          <w:rFonts w:ascii="Times New Roman" w:hAnsi="Times New Roman" w:cs="Times New Roman"/>
          <w:sz w:val="18"/>
          <w:szCs w:val="18"/>
          <w:lang w:val="en-US"/>
        </w:rPr>
        <w:t xml:space="preserve"> Tanah, </w:t>
      </w:r>
      <w:proofErr w:type="spellStart"/>
      <w:r w:rsidRPr="00BF5557">
        <w:rPr>
          <w:rFonts w:ascii="Times New Roman" w:hAnsi="Times New Roman" w:cs="Times New Roman"/>
          <w:i/>
          <w:sz w:val="18"/>
          <w:szCs w:val="18"/>
          <w:lang w:val="en-US"/>
        </w:rPr>
        <w:t>Isaya</w:t>
      </w:r>
      <w:proofErr w:type="spellEnd"/>
      <w:r w:rsidRPr="00BF5557">
        <w:rPr>
          <w:rFonts w:ascii="Times New Roman" w:hAnsi="Times New Roman" w:cs="Times New Roman"/>
          <w:sz w:val="18"/>
          <w:szCs w:val="18"/>
          <w:lang w:val="en-US"/>
        </w:rPr>
        <w:t xml:space="preserve"> 29:11</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97"/>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5F4C4A"/>
    <w:rsid w:val="00030357"/>
    <w:rsid w:val="000C6E4C"/>
    <w:rsid w:val="00116BDC"/>
    <w:rsid w:val="001823B3"/>
    <w:rsid w:val="001F5931"/>
    <w:rsid w:val="00222B7B"/>
    <w:rsid w:val="00364C8D"/>
    <w:rsid w:val="00486F6A"/>
    <w:rsid w:val="004D2A96"/>
    <w:rsid w:val="00501C1D"/>
    <w:rsid w:val="005906C1"/>
    <w:rsid w:val="005F4C4A"/>
    <w:rsid w:val="009D6343"/>
  </w:rsids>
  <m:mathPr>
    <m:mathFont m:val="Cambria Math"/>
    <m:brkBin m:val="before"/>
    <m:brkBinSub m:val="--"/>
    <m:smallFrac m:val="0"/>
    <m:dispDef/>
    <m:lMargin m:val="0"/>
    <m:rMargin m:val="0"/>
    <m:defJc m:val="centerGroup"/>
    <m:wrapIndent m:val="1440"/>
    <m:intLim m:val="subSup"/>
    <m:naryLim m:val="undOvr"/>
  </m:mathPr>
  <w:themeFontLang w:val="tr-TR" w:eastAsia="ja-JP" w:bidi="he-IL"/>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3CD121B7"/>
  <w15:docId w15:val="{0813871A-D094-7D4A-862A-B8FD162061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tr-TR"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etin">
    <w:name w:val="metin"/>
    <w:basedOn w:val="Normal"/>
    <w:uiPriority w:val="99"/>
    <w:rsid w:val="005F4C4A"/>
    <w:pPr>
      <w:autoSpaceDE w:val="0"/>
      <w:autoSpaceDN w:val="0"/>
      <w:adjustRightInd w:val="0"/>
      <w:spacing w:line="306" w:lineRule="atLeast"/>
      <w:ind w:firstLine="283"/>
      <w:jc w:val="both"/>
      <w:textAlignment w:val="center"/>
    </w:pPr>
    <w:rPr>
      <w:rFonts w:ascii="Century Schoolbook" w:hAnsi="Century Schoolbook" w:cs="Century Schoolbook"/>
      <w:color w:val="000000"/>
      <w:sz w:val="21"/>
      <w:szCs w:val="21"/>
    </w:rPr>
  </w:style>
  <w:style w:type="character" w:customStyle="1" w:styleId="italic">
    <w:name w:val="italic"/>
    <w:uiPriority w:val="99"/>
    <w:rsid w:val="005F4C4A"/>
    <w:rPr>
      <w:i/>
      <w:iCs/>
    </w:rPr>
  </w:style>
  <w:style w:type="paragraph" w:customStyle="1" w:styleId="dipnotlar">
    <w:name w:val="dipnotlar"/>
    <w:basedOn w:val="Normal"/>
    <w:uiPriority w:val="99"/>
    <w:rsid w:val="00222B7B"/>
    <w:pPr>
      <w:autoSpaceDE w:val="0"/>
      <w:autoSpaceDN w:val="0"/>
      <w:adjustRightInd w:val="0"/>
      <w:spacing w:line="200" w:lineRule="atLeast"/>
      <w:jc w:val="both"/>
      <w:textAlignment w:val="center"/>
    </w:pPr>
    <w:rPr>
      <w:rFonts w:ascii="MyriadPro-Cond" w:hAnsi="MyriadPro-Cond" w:cs="MyriadPro-Cond"/>
      <w:color w:val="000000"/>
      <w:w w:val="110"/>
      <w:sz w:val="17"/>
      <w:szCs w:val="17"/>
    </w:rPr>
  </w:style>
  <w:style w:type="character" w:customStyle="1" w:styleId="superscript">
    <w:name w:val="superscript"/>
    <w:uiPriority w:val="99"/>
    <w:rsid w:val="00222B7B"/>
    <w:rPr>
      <w:sz w:val="16"/>
      <w:szCs w:val="16"/>
      <w:vertAlign w:val="superscript"/>
    </w:rPr>
  </w:style>
  <w:style w:type="paragraph" w:styleId="FootnoteText">
    <w:name w:val="footnote text"/>
    <w:basedOn w:val="Normal"/>
    <w:link w:val="FootnoteTextChar"/>
    <w:uiPriority w:val="99"/>
    <w:semiHidden/>
    <w:unhideWhenUsed/>
    <w:rsid w:val="00222B7B"/>
    <w:rPr>
      <w:sz w:val="20"/>
      <w:szCs w:val="20"/>
    </w:rPr>
  </w:style>
  <w:style w:type="character" w:customStyle="1" w:styleId="FootnoteTextChar">
    <w:name w:val="Footnote Text Char"/>
    <w:basedOn w:val="DefaultParagraphFont"/>
    <w:link w:val="FootnoteText"/>
    <w:uiPriority w:val="99"/>
    <w:semiHidden/>
    <w:rsid w:val="00222B7B"/>
    <w:rPr>
      <w:sz w:val="20"/>
      <w:szCs w:val="20"/>
    </w:rPr>
  </w:style>
  <w:style w:type="character" w:styleId="FootnoteReference">
    <w:name w:val="footnote reference"/>
    <w:basedOn w:val="DefaultParagraphFont"/>
    <w:uiPriority w:val="99"/>
    <w:semiHidden/>
    <w:unhideWhenUsed/>
    <w:rsid w:val="00222B7B"/>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TotalTime>
  <Pages>2</Pages>
  <Words>878</Words>
  <Characters>5007</Characters>
  <Application>Microsoft Office Word</Application>
  <DocSecurity>0</DocSecurity>
  <Lines>41</Lines>
  <Paragraphs>11</Paragraphs>
  <ScaleCrop>false</ScaleCrop>
  <Company/>
  <LinksUpToDate>false</LinksUpToDate>
  <CharactersWithSpaces>5874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8</cp:revision>
  <dcterms:created xsi:type="dcterms:W3CDTF">2018-12-09T11:39:00Z</dcterms:created>
  <dcterms:modified xsi:type="dcterms:W3CDTF">2020-07-27T12:31:00Z</dcterms:modified>
</cp:coreProperties>
</file>